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20" w:after="40"/>
      </w:pPr>
      <w:r>
        <w:rPr>
          <w:rFonts w:ascii="Calibri" w:hAnsi="Calibri"/>
          <w:b/>
          <w:i w:val="0"/>
          <w:color w:val="2E75B6"/>
          <w:sz w:val="18"/>
        </w:rPr>
        <w:t>NORTHSTAR AI</w:t>
      </w:r>
    </w:p>
    <w:p>
      <w:pPr>
        <w:spacing w:before="0" w:after="80"/>
      </w:pPr>
      <w:r>
        <w:rPr>
          <w:rFonts w:ascii="Calibri" w:hAnsi="Calibri"/>
          <w:b/>
          <w:i w:val="0"/>
          <w:color w:val="17365D"/>
          <w:sz w:val="48"/>
        </w:rPr>
        <w:t>Travel and Expense Policy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420"/>
        <w:gridCol w:w="3260"/>
        <w:gridCol w:w="1180"/>
        <w:gridCol w:w="3500"/>
      </w:tblGrid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Department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Finance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Owner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Rachel Stein, CFO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Date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January 15, 2026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Status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Approved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Related Product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Company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Classification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Internal - fictional demo</w:t>
            </w:r>
          </w:p>
        </w:tc>
      </w:tr>
    </w:tbl>
    <w:p>
      <w:pPr>
        <w:spacing w:after="0"/>
      </w:pPr>
    </w:p>
    <w:p>
      <w:pPr>
        <w:pStyle w:val="Heading1"/>
      </w:pPr>
      <w:r>
        <w:t>Purpose and scope</w:t>
      </w:r>
    </w:p>
    <w:p>
      <w:r>
        <w:rPr>
          <w:rFonts w:ascii="Calibri" w:hAnsi="Calibri"/>
          <w:b w:val="0"/>
          <w:i w:val="0"/>
          <w:color w:val="202124"/>
          <w:sz w:val="22"/>
        </w:rPr>
        <w:t>This policy explains which business travel and related expenses Northstar AI will pay. It applies to all employees and contractors whose engagement letter authorizes reimbursement.</w:t>
      </w:r>
    </w:p>
    <w:p>
      <w:pPr>
        <w:pStyle w:val="Heading1"/>
      </w:pPr>
      <w:r>
        <w:t>Policy rules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Travel must have a clear business purpose and be approved before booking.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Employees should choose reasonable economy airfare and standard hotel rooms.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Meals are reimbursable up to $85 per travel day, excluding personal entertainment.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Local transportation is reimbursable when it is required for the business trip.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Personal upgrades, minibar charges, fines, and companion costs are not reimbursable.</w:t>
      </w:r>
    </w:p>
    <w:p>
      <w:pPr>
        <w:pStyle w:val="Heading1"/>
      </w:pPr>
      <w:r>
        <w:t>Approval requirements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000"/>
        <w:gridCol w:w="1600"/>
        <w:gridCol w:w="4760"/>
      </w:tblGrid>
      <w:tr>
        <w:trPr>
          <w:tblHeader w:val="true"/>
        </w:trPr>
        <w:tc>
          <w:tcPr>
            <w:tcW w:type="dxa" w:w="300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Expense</w:t>
            </w:r>
          </w:p>
        </w:tc>
        <w:tc>
          <w:tcPr>
            <w:tcW w:type="dxa" w:w="160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Pre-approval</w:t>
            </w:r>
          </w:p>
        </w:tc>
        <w:tc>
          <w:tcPr>
            <w:tcW w:type="dxa" w:w="476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Approver</w:t>
            </w:r>
          </w:p>
        </w:tc>
      </w:tr>
      <w:tr>
        <w:tc>
          <w:tcPr>
            <w:tcW w:type="dxa" w:w="30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Domestic trip under $2,000</w:t>
            </w:r>
          </w:p>
        </w:tc>
        <w:tc>
          <w:tcPr>
            <w:tcW w:type="dxa" w:w="16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Required</w:t>
            </w:r>
          </w:p>
        </w:tc>
        <w:tc>
          <w:tcPr>
            <w:tcW w:type="dxa" w:w="476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Employee's department leader</w:t>
            </w:r>
          </w:p>
        </w:tc>
      </w:tr>
      <w:tr>
        <w:tc>
          <w:tcPr>
            <w:tcW w:type="dxa" w:w="30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Trip of $2,000 or more</w:t>
            </w:r>
          </w:p>
        </w:tc>
        <w:tc>
          <w:tcPr>
            <w:tcW w:type="dxa" w:w="16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Required</w:t>
            </w:r>
          </w:p>
        </w:tc>
        <w:tc>
          <w:tcPr>
            <w:tcW w:type="dxa" w:w="476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Department leader and Rachel Stein</w:t>
            </w:r>
          </w:p>
        </w:tc>
      </w:tr>
      <w:tr>
        <w:tc>
          <w:tcPr>
            <w:tcW w:type="dxa" w:w="30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International travel</w:t>
            </w:r>
          </w:p>
        </w:tc>
        <w:tc>
          <w:tcPr>
            <w:tcW w:type="dxa" w:w="16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Required</w:t>
            </w:r>
          </w:p>
        </w:tc>
        <w:tc>
          <w:tcPr>
            <w:tcW w:type="dxa" w:w="476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Daniel Brooks and Rachel Stein</w:t>
            </w:r>
          </w:p>
        </w:tc>
      </w:tr>
      <w:tr>
        <w:tc>
          <w:tcPr>
            <w:tcW w:type="dxa" w:w="30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Customer meal over $300</w:t>
            </w:r>
          </w:p>
        </w:tc>
        <w:tc>
          <w:tcPr>
            <w:tcW w:type="dxa" w:w="16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Required</w:t>
            </w:r>
          </w:p>
        </w:tc>
        <w:tc>
          <w:tcPr>
            <w:tcW w:type="dxa" w:w="476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Department leader</w:t>
            </w:r>
          </w:p>
        </w:tc>
      </w:tr>
    </w:tbl>
    <w:p>
      <w:pPr>
        <w:pStyle w:val="Heading1"/>
      </w:pPr>
      <w:r>
        <w:t>After travel</w:t>
      </w:r>
    </w:p>
    <w:p>
      <w:r>
        <w:rPr>
          <w:rFonts w:ascii="Calibri" w:hAnsi="Calibri"/>
          <w:b w:val="0"/>
          <w:i w:val="0"/>
          <w:color w:val="202124"/>
          <w:sz w:val="22"/>
        </w:rPr>
        <w:t>Employees must submit expenses through the reimbursement process within 15 calendar days of returning. The required documentation and workflow are described in Expense Reimbursement SOP.docx.</w:t>
      </w:r>
    </w:p>
    <w:p>
      <w:pPr>
        <w:pStyle w:val="Heading1"/>
      </w:pPr>
      <w:r>
        <w:t>Contact</w:t>
      </w:r>
    </w:p>
    <w:p>
      <w:r>
        <w:rPr>
          <w:rFonts w:ascii="Calibri" w:hAnsi="Calibri"/>
          <w:b w:val="0"/>
          <w:i w:val="0"/>
          <w:color w:val="202124"/>
          <w:sz w:val="22"/>
        </w:rPr>
        <w:t>Policy owner: Rachel Stein, CFO. Documentation questions: Maya Chen, Controller, at maya.chen@northstar-ai.example.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224" w:bottom="1008" w:left="1224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Calibri" w:hAnsi="Calibri"/>
        <w:b w:val="0"/>
        <w:i w:val="0"/>
        <w:color w:val="6B7280"/>
        <w:sz w:val="16"/>
      </w:rPr>
      <w:t xml:space="preserve">Page </w:t>
    </w:r>
    <w:fldChar w:fldCharType="begin"/>
    <w:instrText xml:space="preserve"> PAGE </w:instrText>
    <w:fldChar w:fldCharType="end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i w:val="0"/>
        <w:color w:val="6B7280"/>
        <w:sz w:val="16"/>
      </w:rPr>
      <w:t>NORTHSTAR AI  |  INTERNAL DEMO CONTENT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69" w:lineRule="auto"/>
    </w:pPr>
    <w:rPr>
      <w:rFonts w:ascii="Calibri" w:hAnsi="Calibri"/>
      <w:color w:val="202124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40"/>
      <w:outlineLvl w:val="0"/>
    </w:pPr>
    <w:rPr>
      <w:rFonts w:asciiTheme="majorHAnsi" w:eastAsiaTheme="majorEastAsia" w:hAnsiTheme="majorHAnsi" w:cstheme="majorBidi" w:ascii="Calibri" w:hAnsi="Calibri"/>
      <w:b/>
      <w:bCs/>
      <w:color w:val="17365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Calibri" w:hAnsi="Calibri"/>
      <w:b/>
      <w:bCs/>
      <w:color w:val="17365D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238C52ED960247B3A2824D8BC4D643" ma:contentTypeVersion="3" ma:contentTypeDescription="Create a new document." ma:contentTypeScope="" ma:versionID="7acf50459a7166135bf44d3f930b1b1c">
  <xsd:schema xmlns:xsd="http://www.w3.org/2001/XMLSchema" xmlns:xs="http://www.w3.org/2001/XMLSchema" xmlns:p="http://schemas.microsoft.com/office/2006/metadata/properties" xmlns:ns2="21b1b137-97de-42cf-a5fb-314c468c8af0" targetNamespace="http://schemas.microsoft.com/office/2006/metadata/properties" ma:root="true" ma:fieldsID="5f28b13b4b142af8a6531b2ad340f1be" ns2:_="">
    <xsd:import namespace="21b1b137-97de-42cf-a5fb-314c468c8a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1b137-97de-42cf-a5fb-314c468c8a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3D7EAE-8E1C-4E04-8B9B-962540116AF6}"/>
</file>

<file path=customXml/itemProps3.xml><?xml version="1.0" encoding="utf-8"?>
<ds:datastoreItem xmlns:ds="http://schemas.openxmlformats.org/officeDocument/2006/customXml" ds:itemID="{B9311D3F-F576-476D-B454-F8518F7C4AD4}"/>
</file>

<file path=customXml/itemProps4.xml><?xml version="1.0" encoding="utf-8"?>
<ds:datastoreItem xmlns:ds="http://schemas.openxmlformats.org/officeDocument/2006/customXml" ds:itemID="{76A46F7F-1E72-412D-9849-58501A0CFF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0x010100D3238C52ED960247B3A2824D8BC4D643</vt:lpwstr>
  </property>
</Properties>
</file>